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09" w:rsidRPr="00BD7409" w:rsidRDefault="00BD7409" w:rsidP="00BD7409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BD7409">
        <w:rPr>
          <w:rFonts w:ascii="Times New Roman" w:eastAsia="SimSun" w:hAnsi="Times New Roman" w:cs="Times New Roman"/>
          <w:sz w:val="24"/>
          <w:szCs w:val="24"/>
        </w:rPr>
        <w:t xml:space="preserve">Приложение № 1 к приказу </w:t>
      </w:r>
    </w:p>
    <w:p w:rsidR="00BD7409" w:rsidRPr="00BD7409" w:rsidRDefault="00BD7409" w:rsidP="00BD7409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BD7409">
        <w:rPr>
          <w:rFonts w:ascii="Times New Roman" w:eastAsia="SimSun" w:hAnsi="Times New Roman" w:cs="Times New Roman"/>
          <w:sz w:val="24"/>
          <w:szCs w:val="24"/>
        </w:rPr>
        <w:t xml:space="preserve">МБОУ СОШ </w:t>
      </w:r>
      <w:proofErr w:type="spellStart"/>
      <w:r w:rsidRPr="00BD7409">
        <w:rPr>
          <w:rFonts w:ascii="Times New Roman" w:eastAsia="SimSun" w:hAnsi="Times New Roman" w:cs="Times New Roman"/>
          <w:sz w:val="24"/>
          <w:szCs w:val="24"/>
        </w:rPr>
        <w:t>с</w:t>
      </w:r>
      <w:proofErr w:type="gramStart"/>
      <w:r w:rsidRPr="00BD7409">
        <w:rPr>
          <w:rFonts w:ascii="Times New Roman" w:eastAsia="SimSun" w:hAnsi="Times New Roman" w:cs="Times New Roman"/>
          <w:sz w:val="24"/>
          <w:szCs w:val="24"/>
        </w:rPr>
        <w:t>.Т</w:t>
      </w:r>
      <w:proofErr w:type="gramEnd"/>
      <w:r w:rsidRPr="00BD7409">
        <w:rPr>
          <w:rFonts w:ascii="Times New Roman" w:eastAsia="SimSun" w:hAnsi="Times New Roman" w:cs="Times New Roman"/>
          <w:sz w:val="24"/>
          <w:szCs w:val="24"/>
        </w:rPr>
        <w:t>олдзгун</w:t>
      </w:r>
      <w:proofErr w:type="spellEnd"/>
      <w:r w:rsidRPr="00BD7409">
        <w:rPr>
          <w:rFonts w:ascii="Times New Roman" w:eastAsia="SimSun" w:hAnsi="Times New Roman" w:cs="Times New Roman"/>
          <w:sz w:val="24"/>
          <w:szCs w:val="24"/>
        </w:rPr>
        <w:t xml:space="preserve"> от 26.07.2023 г. № 64</w:t>
      </w:r>
    </w:p>
    <w:p w:rsidR="00BD7409" w:rsidRPr="00BD7409" w:rsidRDefault="00BD7409" w:rsidP="00BD7409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BD7409" w:rsidRPr="00BD7409" w:rsidRDefault="00BD7409" w:rsidP="00BD7409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BD7409" w:rsidRPr="00BD7409" w:rsidRDefault="00BD7409" w:rsidP="00BD7409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BD7409" w:rsidRPr="00BD7409" w:rsidRDefault="00BD7409" w:rsidP="00BD7409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D7409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Базовый уровень </w:t>
      </w:r>
      <w:proofErr w:type="spellStart"/>
      <w:r w:rsidRPr="00BD7409">
        <w:rPr>
          <w:rFonts w:ascii="Times New Roman" w:eastAsia="SimSun" w:hAnsi="Times New Roman" w:cs="Times New Roman"/>
          <w:b/>
          <w:bCs/>
          <w:sz w:val="28"/>
          <w:szCs w:val="28"/>
        </w:rPr>
        <w:t>Профориентационного</w:t>
      </w:r>
      <w:proofErr w:type="spellEnd"/>
      <w:r w:rsidRPr="00BD7409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минимума </w:t>
      </w:r>
    </w:p>
    <w:p w:rsidR="00BD7409" w:rsidRPr="00BD7409" w:rsidRDefault="00BD7409" w:rsidP="00BD7409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>(рекомендованное количество часов в год - 40)</w:t>
      </w:r>
    </w:p>
    <w:p w:rsidR="00BD7409" w:rsidRPr="00BD7409" w:rsidRDefault="00BD7409" w:rsidP="00BD7409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b/>
          <w:bCs/>
          <w:sz w:val="28"/>
          <w:szCs w:val="28"/>
        </w:rPr>
        <w:t>Цель реализации базового уровня</w:t>
      </w: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– активизация профессионального самоопределения обучающихся и формирование у них основ карьерной грамотности (инструментальной стороны профессионального самоопределения). </w:t>
      </w:r>
    </w:p>
    <w:p w:rsidR="00BD7409" w:rsidRPr="00BD7409" w:rsidRDefault="00BD7409" w:rsidP="00BD7409">
      <w:pPr>
        <w:spacing w:after="0" w:line="240" w:lineRule="auto"/>
        <w:ind w:firstLineChars="125" w:firstLine="3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Задачи базового уровня: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-организация и систематизация первичной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профориентационной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помощи; 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-развитие представлений обучающихся о современном разнообразии профессий и специальностей, важности трудовой деятельности и выбора ее специфики, возможностях профессионального образования;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-информирование обучающихся о содержании деятельности востребованных на рынке труда специалистов;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-развитие мотивации </w:t>
      </w:r>
      <w:proofErr w:type="gramStart"/>
      <w:r w:rsidRPr="00BD7409">
        <w:rPr>
          <w:rFonts w:ascii="Times New Roman" w:eastAsia="SimSun" w:hAnsi="Times New Roman" w:cs="Times New Roman"/>
          <w:sz w:val="28"/>
          <w:szCs w:val="28"/>
        </w:rPr>
        <w:t>обучающихся</w:t>
      </w:r>
      <w:proofErr w:type="gram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к профессиональному самоопределению;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-диагностика склонностей обучающихся к профессиональным направлениям.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1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1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D7409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Рекомендации по реализации базового уровня </w:t>
      </w:r>
    </w:p>
    <w:p w:rsidR="00BD7409" w:rsidRPr="00BD7409" w:rsidRDefault="00BD7409" w:rsidP="00BD7409">
      <w:pPr>
        <w:spacing w:after="0" w:line="240" w:lineRule="auto"/>
        <w:ind w:firstLineChars="125" w:firstLine="351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proofErr w:type="spellStart"/>
      <w:r w:rsidRPr="00BD7409">
        <w:rPr>
          <w:rFonts w:ascii="Times New Roman" w:eastAsia="SimSun" w:hAnsi="Times New Roman" w:cs="Times New Roman"/>
          <w:b/>
          <w:bCs/>
          <w:sz w:val="28"/>
          <w:szCs w:val="28"/>
        </w:rPr>
        <w:t>Профориентационного</w:t>
      </w:r>
      <w:proofErr w:type="spellEnd"/>
      <w:r w:rsidRPr="00BD7409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минимума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Организационные и методические условия для участия обучающихся 6– 11 классов в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профориентационной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деятельности: </w:t>
      </w:r>
    </w:p>
    <w:p w:rsidR="00BD7409" w:rsidRPr="00BD7409" w:rsidRDefault="00BD7409" w:rsidP="00BD7409">
      <w:pPr>
        <w:numPr>
          <w:ilvl w:val="0"/>
          <w:numId w:val="1"/>
        </w:num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Назначить ответственного в школе по профориентации (замдиректора по учебно-воспитательной работе). </w:t>
      </w:r>
    </w:p>
    <w:p w:rsidR="00BD7409" w:rsidRPr="00BD7409" w:rsidRDefault="00BD7409" w:rsidP="00BD7409">
      <w:pPr>
        <w:numPr>
          <w:ilvl w:val="0"/>
          <w:numId w:val="1"/>
        </w:numPr>
        <w:spacing w:after="0" w:line="240" w:lineRule="auto"/>
        <w:ind w:firstLineChars="125"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Определить ответственных специалистов по организации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профориентационной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работы из числа педагогических работников (педагог предметник, классный руководитель, педагог-психолог, и др.). Данному специалисту необходимо пройти инструктаж по организации и проведению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профориентационной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работы в образовательной организации (не менее 6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ак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. часов). </w:t>
      </w:r>
    </w:p>
    <w:p w:rsidR="00BD7409" w:rsidRPr="00BD7409" w:rsidRDefault="00BD7409" w:rsidP="00BD7409">
      <w:pPr>
        <w:numPr>
          <w:ilvl w:val="0"/>
          <w:numId w:val="1"/>
        </w:numPr>
        <w:spacing w:after="0" w:line="240" w:lineRule="auto"/>
        <w:ind w:firstLineChars="125"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Специалист определяет количество участников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профориентационных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мероприятий из числа обучающихся 6–11 классов (формирует учебные группы). </w:t>
      </w:r>
    </w:p>
    <w:p w:rsidR="00BD7409" w:rsidRPr="00BD7409" w:rsidRDefault="00BD7409" w:rsidP="00BD7409">
      <w:pPr>
        <w:numPr>
          <w:ilvl w:val="0"/>
          <w:numId w:val="1"/>
        </w:numPr>
        <w:spacing w:after="0" w:line="240" w:lineRule="auto"/>
        <w:ind w:firstLineChars="125"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Специалист создает план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профориентационной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работы с учетом возрастных и индивидуальных особенностей обучающихся, входящих в учебные группы.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Рекомендовано использовать в программе следующие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профориентационные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мероприятия: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Профориентационный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урок. Специалист может самостоятельно разработать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профориентационный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урок или воспользоваться разработанными материалами в рамках федерального проекта «Успех каждого ребенка» Национального проекта «Образование» («Билет в будущее», онлайн-уроки «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ПроеКТОриЯ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» и др.). </w:t>
      </w: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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-Онлайн-диагностика и групповое консультирование по итогам оценки профильной направленности школьников с помощью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профориентационной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диагностики.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-Информационное сопровождение обучающихся и их родителей по возможностям общедоступного и школьного сегментов Платформы «Билет в будущее».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-Вариативные мероприятия: проектная деятельность, посещение организаций профессионального образования и работодателей территориальной среды, проведение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профориентационной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программы.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В рамках уровня проводится сбор количественных показателей реализации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профориентационных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программ и мероприятий (примеры показателей см. в Приложении 1). Сбор осуществляется за счет использования платформенных решений в автоматизированном виде.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1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D7409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Форматы </w:t>
      </w:r>
      <w:proofErr w:type="spellStart"/>
      <w:r w:rsidRPr="00BD7409">
        <w:rPr>
          <w:rFonts w:ascii="Times New Roman" w:eastAsia="SimSun" w:hAnsi="Times New Roman" w:cs="Times New Roman"/>
          <w:b/>
          <w:bCs/>
          <w:sz w:val="28"/>
          <w:szCs w:val="28"/>
        </w:rPr>
        <w:t>профориентационной</w:t>
      </w:r>
      <w:proofErr w:type="spellEnd"/>
      <w:r w:rsidRPr="00BD7409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работы</w:t>
      </w:r>
    </w:p>
    <w:p w:rsidR="00BD7409" w:rsidRPr="00BD7409" w:rsidRDefault="00BD7409" w:rsidP="00BD7409">
      <w:pPr>
        <w:spacing w:after="0" w:line="240" w:lineRule="auto"/>
        <w:ind w:firstLineChars="125" w:firstLine="351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Профориентационная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работа реализуется в следующих форматах: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b/>
          <w:bCs/>
          <w:sz w:val="28"/>
          <w:szCs w:val="28"/>
        </w:rPr>
        <w:t>Урочная деятельность</w:t>
      </w: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На выбор: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 Уроки общеобразовательного цикла, включающие элемент значимости учебного предмета для профессиональной деятельности. </w:t>
      </w:r>
      <w:proofErr w:type="gramStart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Используется интерактивный сервис «Конструктор будущего» (в рамках проекта («Билет в будущее») или другие программы. </w:t>
      </w:r>
      <w:r w:rsidRPr="00BD7409">
        <w:rPr>
          <w:rFonts w:ascii="Times New Roman" w:eastAsia="SimSun" w:hAnsi="Times New Roman" w:cs="Times New Roman"/>
          <w:sz w:val="28"/>
          <w:szCs w:val="28"/>
        </w:rPr>
        <w:t></w:t>
      </w:r>
      <w:proofErr w:type="gramEnd"/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 Уроки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профориентационной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направленности в рамках учебного предмета «Технология».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  <w:u w:val="single"/>
        </w:rPr>
      </w:pPr>
      <w:r w:rsidRPr="00BD7409">
        <w:rPr>
          <w:rFonts w:ascii="Times New Roman" w:eastAsia="SimSun" w:hAnsi="Times New Roman" w:cs="Times New Roman"/>
          <w:sz w:val="28"/>
          <w:szCs w:val="28"/>
          <w:u w:val="single"/>
        </w:rPr>
        <w:t xml:space="preserve">Рекомендованное количество: от 4 часов.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1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D7409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Внеурочная деятельность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Курс занятий: «Россия - мои горизонты»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  <w:u w:val="single"/>
        </w:rPr>
      </w:pPr>
      <w:r w:rsidRPr="00BD7409">
        <w:rPr>
          <w:rFonts w:ascii="Times New Roman" w:eastAsia="SimSun" w:hAnsi="Times New Roman" w:cs="Times New Roman"/>
          <w:sz w:val="28"/>
          <w:szCs w:val="28"/>
          <w:u w:val="single"/>
        </w:rPr>
        <w:t>Рекомендованное количество: от 34 часов.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  <w:u w:val="single"/>
        </w:rPr>
      </w:pPr>
    </w:p>
    <w:p w:rsidR="00BD7409" w:rsidRPr="00BD7409" w:rsidRDefault="00BD7409" w:rsidP="00BD7409">
      <w:pPr>
        <w:spacing w:after="0" w:line="240" w:lineRule="auto"/>
        <w:ind w:firstLineChars="125" w:firstLine="351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D7409">
        <w:rPr>
          <w:rFonts w:ascii="Times New Roman" w:eastAsia="SimSun" w:hAnsi="Times New Roman" w:cs="Times New Roman"/>
          <w:b/>
          <w:bCs/>
          <w:sz w:val="28"/>
          <w:szCs w:val="28"/>
        </w:rPr>
        <w:t>Взаимодействие с родителями</w:t>
      </w:r>
    </w:p>
    <w:p w:rsidR="00BD7409" w:rsidRPr="00BD7409" w:rsidRDefault="00BD7409" w:rsidP="00BD7409">
      <w:pPr>
        <w:spacing w:after="0" w:line="240" w:lineRule="auto"/>
        <w:ind w:firstLineChars="125" w:firstLine="351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Участие во всероссийских родительских собраниях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  <w:u w:val="single"/>
        </w:rPr>
      </w:pPr>
      <w:r w:rsidRPr="00BD7409">
        <w:rPr>
          <w:rFonts w:ascii="Times New Roman" w:eastAsia="SimSun" w:hAnsi="Times New Roman" w:cs="Times New Roman"/>
          <w:sz w:val="28"/>
          <w:szCs w:val="28"/>
          <w:u w:val="single"/>
        </w:rPr>
        <w:t>Рекомендованное количество: от 2 часов.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1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D7409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Описание </w:t>
      </w:r>
      <w:proofErr w:type="spellStart"/>
      <w:r w:rsidRPr="00BD7409">
        <w:rPr>
          <w:rFonts w:ascii="Times New Roman" w:eastAsia="SimSun" w:hAnsi="Times New Roman" w:cs="Times New Roman"/>
          <w:b/>
          <w:bCs/>
          <w:sz w:val="28"/>
          <w:szCs w:val="28"/>
        </w:rPr>
        <w:t>профориентационных</w:t>
      </w:r>
      <w:proofErr w:type="spellEnd"/>
      <w:r w:rsidRPr="00BD7409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мероприятий на базовом уровне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Профориентационный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урок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Профориентационные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уроки ориентированы на разные возрастные группы обучающихся с 6 по 11 класс, для каждого класса создается с учетом возрастных норм и актуальности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профориентационных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задач, стоящих перед </w:t>
      </w:r>
      <w:proofErr w:type="gramStart"/>
      <w:r w:rsidRPr="00BD7409">
        <w:rPr>
          <w:rFonts w:ascii="Times New Roman" w:eastAsia="SimSun" w:hAnsi="Times New Roman" w:cs="Times New Roman"/>
          <w:sz w:val="28"/>
          <w:szCs w:val="28"/>
        </w:rPr>
        <w:t>обучающимися</w:t>
      </w:r>
      <w:proofErr w:type="gram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.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>Так, в 6–7 классе актуальнее представить широкий конте</w:t>
      </w:r>
      <w:proofErr w:type="gramStart"/>
      <w:r w:rsidRPr="00BD7409">
        <w:rPr>
          <w:rFonts w:ascii="Times New Roman" w:eastAsia="SimSun" w:hAnsi="Times New Roman" w:cs="Times New Roman"/>
          <w:sz w:val="28"/>
          <w:szCs w:val="28"/>
        </w:rPr>
        <w:t>кст пр</w:t>
      </w:r>
      <w:proofErr w:type="gram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офессионального выбора, рассказать о значимости труда в жизни человека, способы профессионального выбора, рассматривать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предпрофильные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направления обучения, возможности дополнительного образования, темы проектных работ.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В 8–9 классах стоит обратить внимание на выбор уровня профессионального образования, содержание основных и востребованных профессий.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В 10–11 классах среди важных для рассмотрения тем: выбор направления профессионального обучения и соответствующих предметов для вступительных испытаний, особенности поступления в образовательные организации высшего образования, старт профессиональной карьеры.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Продолжительность урока не менее 45 мин. В каждый урок встраиваются интерактивные элементы – вопросы по теме урока, тестирование/опрос с целью организации взаимодействия педагога-навигатора с </w:t>
      </w:r>
      <w:proofErr w:type="gramStart"/>
      <w:r w:rsidRPr="00BD7409">
        <w:rPr>
          <w:rFonts w:ascii="Times New Roman" w:eastAsia="SimSun" w:hAnsi="Times New Roman" w:cs="Times New Roman"/>
          <w:sz w:val="28"/>
          <w:szCs w:val="28"/>
        </w:rPr>
        <w:t>обучающимися</w:t>
      </w:r>
      <w:proofErr w:type="gram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. Во время урока школьники имеют возможность решить в классе и/или в качестве домашнего задания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профориентационные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упражнения.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Профориентационная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онлайн-диагностика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Онлайн-диагностика проводится по методике, позволяющей оценить интересы обучающегося, и на этой основе рекомендовать профиль обучения и профессиональные группы. Оценка профессиональных склонностей и соответствующей профильной направленности проводится в трех возрастных группах: 6–7 класс, 8–9 класс и 10–11 класс.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После получения результатов диагностики необходимо проведение групповой консультации (допускается использование форматов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видеоконсультаций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). В зависимости от возраста и стоящих перед </w:t>
      </w:r>
      <w:proofErr w:type="gramStart"/>
      <w:r w:rsidRPr="00BD7409">
        <w:rPr>
          <w:rFonts w:ascii="Times New Roman" w:eastAsia="SimSun" w:hAnsi="Times New Roman" w:cs="Times New Roman"/>
          <w:sz w:val="28"/>
          <w:szCs w:val="28"/>
        </w:rPr>
        <w:t>обучающимися</w:t>
      </w:r>
      <w:proofErr w:type="gram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профориентационных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задач методики отличаются в отношении рекомендаций, которые даются в отчете по итогам тестирования.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Общая структура методики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По итогам тестирования на Платформе автоматически формируется индивидуальный отчет </w:t>
      </w:r>
      <w:proofErr w:type="gramStart"/>
      <w:r w:rsidRPr="00BD7409">
        <w:rPr>
          <w:rFonts w:ascii="Times New Roman" w:eastAsia="SimSun" w:hAnsi="Times New Roman" w:cs="Times New Roman"/>
          <w:sz w:val="28"/>
          <w:szCs w:val="28"/>
        </w:rPr>
        <w:t>для</w:t>
      </w:r>
      <w:proofErr w:type="gram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обучающегося, содержащий следующую информацию: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-Графическое предъявление результатов профессиональных склонностей (шкальный профиль, стандартизированные баллы); 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-Рекомендации по выбору профиля обучения и профессиональных направлений; 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-Текстовые описания рекомендованных профилей обучения и рекомендуемых профессиональных направлений, представленных в тесте;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 Дополнительные рекомендации по итогам тестирования: выбор уровня образования (8-9 класс), перечень рекомендуемых учебных предметов для сдачи ЕГЭ в рамках каждого профиля обучения (10-11 классы).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По итогам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профориентационной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диагностики на Платформе автоматически формируются две формы отчета: для обучающегося и родителя (законного представителя) и общий отчет для школы, в котором представлена статистика по обучающимся: распределение интересов по профессиональным направлениям и профилям обучения, профессиональные предпочтения и т.д. </w:t>
      </w:r>
      <w:proofErr w:type="gramEnd"/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1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D7409">
        <w:rPr>
          <w:rFonts w:ascii="Times New Roman" w:eastAsia="SimSun" w:hAnsi="Times New Roman" w:cs="Times New Roman"/>
          <w:b/>
          <w:bCs/>
          <w:sz w:val="28"/>
          <w:szCs w:val="28"/>
        </w:rPr>
        <w:t>Версия методики онлайн-диагностики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-Основной акцент для 6–7 классов – помощь в выборе направлений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предпрофильного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обучения и программ углубленного изучения отдельных предметов; 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-Основной акцент для 8–9 классов – выбор профиля обучения, уровня обучения и профессионального направления; 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-Основной акцент для 10–11 классов – выбор профиля дальнейшего обучения, профильных предметов для сдачи ЕГЭ, профессиональных направлений. 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>-Для обучающихся с ОВЗ и инвалидностью используются адаптированные методики для 6–7, 8–9 и 10–11 классов по 8 нозологическим группам:</w:t>
      </w:r>
    </w:p>
    <w:p w:rsidR="00BD7409" w:rsidRPr="00BD7409" w:rsidRDefault="00BD7409" w:rsidP="00BD7409">
      <w:pPr>
        <w:spacing w:after="0" w:line="240" w:lineRule="auto"/>
        <w:ind w:firstLineChars="202" w:firstLine="5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нарушение зрения (слабовидящие); </w:t>
      </w:r>
    </w:p>
    <w:p w:rsidR="00BD7409" w:rsidRPr="00BD7409" w:rsidRDefault="00BD7409" w:rsidP="00BD7409">
      <w:pPr>
        <w:spacing w:after="0" w:line="240" w:lineRule="auto"/>
        <w:ind w:firstLineChars="202" w:firstLine="5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нарушение слуха (глухие и слабослышащие, позднооглохшие); </w:t>
      </w:r>
    </w:p>
    <w:p w:rsidR="00BD7409" w:rsidRPr="00BD7409" w:rsidRDefault="00BD7409" w:rsidP="00BD7409">
      <w:pPr>
        <w:spacing w:after="0" w:line="240" w:lineRule="auto"/>
        <w:ind w:firstLineChars="202" w:firstLine="5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нарушение опорно-двигательного аппарата; </w:t>
      </w:r>
    </w:p>
    <w:p w:rsidR="00BD7409" w:rsidRPr="00BD7409" w:rsidRDefault="00BD7409" w:rsidP="00BD7409">
      <w:pPr>
        <w:spacing w:after="0" w:line="240" w:lineRule="auto"/>
        <w:ind w:firstLineChars="202" w:firstLine="5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общие заболевания (нарушение дыхательной системы, пищеварительной, эндокринной систем, </w:t>
      </w:r>
      <w:proofErr w:type="gramStart"/>
      <w:r w:rsidRPr="00BD7409">
        <w:rPr>
          <w:rFonts w:ascii="Times New Roman" w:eastAsia="SimSun" w:hAnsi="Times New Roman" w:cs="Times New Roman"/>
          <w:sz w:val="28"/>
          <w:szCs w:val="28"/>
        </w:rPr>
        <w:t>сердечно-сосудистой</w:t>
      </w:r>
      <w:proofErr w:type="gram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системы и т.д.), </w:t>
      </w:r>
    </w:p>
    <w:p w:rsidR="00BD7409" w:rsidRPr="00BD7409" w:rsidRDefault="00BD7409" w:rsidP="00BD7409">
      <w:pPr>
        <w:spacing w:after="0" w:line="240" w:lineRule="auto"/>
        <w:ind w:firstLineChars="202" w:firstLine="5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задержка психического развития (легкая степень); </w:t>
      </w:r>
    </w:p>
    <w:p w:rsidR="00BD7409" w:rsidRPr="00BD7409" w:rsidRDefault="00BD7409" w:rsidP="00BD7409">
      <w:pPr>
        <w:spacing w:after="0" w:line="240" w:lineRule="auto"/>
        <w:ind w:firstLineChars="202" w:firstLine="5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тяжелое недоразвитие речи; </w:t>
      </w:r>
    </w:p>
    <w:p w:rsidR="00BD7409" w:rsidRPr="00BD7409" w:rsidRDefault="00BD7409" w:rsidP="00BD7409">
      <w:pPr>
        <w:spacing w:after="0" w:line="240" w:lineRule="auto"/>
        <w:ind w:firstLineChars="202" w:firstLine="5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расстройства аутистического спектра), интеллектуальные нарушения (легкая степень) и </w:t>
      </w:r>
    </w:p>
    <w:p w:rsidR="00BD7409" w:rsidRPr="00BD7409" w:rsidRDefault="00BD7409" w:rsidP="00BD7409">
      <w:pPr>
        <w:spacing w:after="0" w:line="240" w:lineRule="auto"/>
        <w:ind w:firstLineChars="202" w:firstLine="566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202" w:firstLine="5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>трех возрастных категорий: 6–7, 8–9, 10–11 классы.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BD7409" w:rsidRPr="00BD7409" w:rsidRDefault="00BD7409" w:rsidP="00BD7409">
      <w:pPr>
        <w:spacing w:after="0" w:line="240" w:lineRule="auto"/>
        <w:ind w:firstLineChars="125" w:firstLine="351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D7409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Групповая консультация по результатам диагностики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Специалист, отвечающий за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профориентационную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работу, проводит урок, в рамках которого организует обсуждение результатов онлайн диагностики (тестирования): информирует о принципах интерпретации результатов (что означают высокие, средние и низкие результаты), как в дальнейшем применять полученные результаты. Возможно проведение консультаций с использованием видеоматериалов, содержащих интерпретацию результатов, предоставленных разработчиком онлайн диагностики.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1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D7409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Работа с родителями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Для работы с родителями рекомендуется использовать форму отчета для родителей по результатам онлайн-диагностики; материалы общедоступного контура Платформы основного уровня реализации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Профориентационного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минимума.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1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  <w:proofErr w:type="spellStart"/>
      <w:r w:rsidRPr="00BD7409">
        <w:rPr>
          <w:rFonts w:ascii="Times New Roman" w:eastAsia="SimSun" w:hAnsi="Times New Roman" w:cs="Times New Roman"/>
          <w:b/>
          <w:bCs/>
          <w:sz w:val="28"/>
          <w:szCs w:val="28"/>
        </w:rPr>
        <w:t>Профориентационные</w:t>
      </w:r>
      <w:proofErr w:type="spellEnd"/>
      <w:r w:rsidRPr="00BD7409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мероприятия по выбору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Выбор вариативных мероприятий опирается на возможности образовательной организации. В число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профориентационных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мероприятий могут быть </w:t>
      </w:r>
      <w:proofErr w:type="gramStart"/>
      <w:r w:rsidRPr="00BD7409">
        <w:rPr>
          <w:rFonts w:ascii="Times New Roman" w:eastAsia="SimSun" w:hAnsi="Times New Roman" w:cs="Times New Roman"/>
          <w:sz w:val="28"/>
          <w:szCs w:val="28"/>
        </w:rPr>
        <w:t>включены</w:t>
      </w:r>
      <w:proofErr w:type="gram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: 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-Организация проектной деятельности обучающихся в соответствии с результатами и рекомендациями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профориентационной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диагностики с учетом выбранных обучающимися профессиональных направлений или профиля обучения.  </w:t>
      </w:r>
      <w:proofErr w:type="gramEnd"/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-Посещение профессиональных образовательных организаций, организаций высшего образования и работодателей </w:t>
      </w:r>
      <w:proofErr w:type="gramStart"/>
      <w:r w:rsidRPr="00BD7409">
        <w:rPr>
          <w:rFonts w:ascii="Times New Roman" w:eastAsia="SimSun" w:hAnsi="Times New Roman" w:cs="Times New Roman"/>
          <w:sz w:val="28"/>
          <w:szCs w:val="28"/>
        </w:rPr>
        <w:t>региона</w:t>
      </w:r>
      <w:proofErr w:type="gram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с учетом профессиональных склонностей обучающихся, выявленных в результате диагностики. 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-Экскурсии в профессиональные образовательные организации и организации высшего образования – это возможность познакомить обучающихся с направлениями подготовки и программами обучения; с профессиональными задачами специалистов, с преподавателями; обсудить востребованность будущих выпускников. 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-Экскурсии в компании или предприятия – это возможность познакомить обучающихся с подробностями ежедневной профессиональной деятельности конкретных специалистов, погрузить их в профессиональный контекст, «примерить» эти профессии на себя, тем самым, активизируя собственные размышления обучающихся, необходимые для совершения профессионального выбора. 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-Мероприятия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профориентационной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программы могут быть встроены как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профориентационные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блоки, включенные в учебные предметы, тематические классные часы, так и как отдельный вид внеурочной деятельности, воспитательной работы, дополнительного образования.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0"/>
        <w:jc w:val="right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Приложение 1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right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1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D7409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Рекомендации по мониторингу исполнения мероприятий общеобразовательными организациями в рамках </w:t>
      </w:r>
      <w:proofErr w:type="spellStart"/>
      <w:r w:rsidRPr="00BD7409">
        <w:rPr>
          <w:rFonts w:ascii="Times New Roman" w:eastAsia="SimSun" w:hAnsi="Times New Roman" w:cs="Times New Roman"/>
          <w:b/>
          <w:bCs/>
          <w:sz w:val="28"/>
          <w:szCs w:val="28"/>
        </w:rPr>
        <w:t>Профориентационного</w:t>
      </w:r>
      <w:proofErr w:type="spellEnd"/>
      <w:r w:rsidRPr="00BD7409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минимума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Работа с данными в рамках исполнения мероприятий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профориентационного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минимума включает в себя сбор, мониторинг и анализ количественных и качественных показателей, а также оценку эффектов и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лонгитюдные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исследования. Сбор данных автоматизирован с помощью платформенных решений.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Примеры показателей: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b/>
          <w:bCs/>
          <w:sz w:val="28"/>
          <w:szCs w:val="28"/>
        </w:rPr>
        <w:t>Количественные показатели:</w:t>
      </w: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-количество педагогов, прошедших программу повышения квалификации по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профориентационной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работе, с указанием длительности обучения;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-количество обучающихся 6-11 классов, принявших участие в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профпробах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, от общего количества обучающихся 6-11 классов;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>-количество учащихся прошедших онлайн-диагностику от общего количества учащихся 6-11 классов;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-статистика по выявленным профилям интересов и способностей в результате онлайн диагностики;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-статистика образовательно-профессиональных планов учащихся, выявленных в рамках онлайн диагностики;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количество и тематика региональных и федеральных мероприятий, проводимых школой, в рамках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профориентационных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мероприятий по выбору, с указанием количества обучающихся 6-11кл, принявших участие в каждом мероприятии, от общего числа обучающихся 6-11 классов школы;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-количество обучающихся 6-11 классов, принявших участие в проектной деятельности, от общего числа обучающихся 6-11 классов школы;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 процент мероприятий, соответствующих профилю и запросам учеников, от общего числа мероприятий, проведенных школой в рамках мероприятий по выбору и др.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Качественные и количественные показатели: </w:t>
      </w: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-перечень дефицитов, по которым целесообразно подключать партнеров; количество обучающихся 6-11 классов, для которых характерны указанные дефициты; </w:t>
      </w: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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-выбранный формат привлечение Партнеров; 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-список партнеров, привлеченный к работе; 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-перечень и количество мероприятий с партнерами; количество обучающихся 6-11 классов, принявших участие в каждом мероприятии, от общего числа обучающихся 6-11 классов в школе; 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-процент соответствия мероприятий с партнерами профилям и дефицитам обучающихся по итогам диагностики; 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-обратная связь по итогам проведенных </w:t>
      </w:r>
      <w:proofErr w:type="spellStart"/>
      <w:r w:rsidRPr="00BD7409">
        <w:rPr>
          <w:rFonts w:ascii="Times New Roman" w:eastAsia="SimSun" w:hAnsi="Times New Roman" w:cs="Times New Roman"/>
          <w:sz w:val="28"/>
          <w:szCs w:val="28"/>
        </w:rPr>
        <w:t>профпроб</w:t>
      </w:r>
      <w:proofErr w:type="spellEnd"/>
      <w:r w:rsidRPr="00BD7409">
        <w:rPr>
          <w:rFonts w:ascii="Times New Roman" w:eastAsia="SimSun" w:hAnsi="Times New Roman" w:cs="Times New Roman"/>
          <w:sz w:val="28"/>
          <w:szCs w:val="28"/>
        </w:rPr>
        <w:t xml:space="preserve"> и мероприятий; 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 xml:space="preserve">-оценка нагрузки на участников проекта;  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D7409">
        <w:rPr>
          <w:rFonts w:ascii="Times New Roman" w:eastAsia="SimSun" w:hAnsi="Times New Roman" w:cs="Times New Roman"/>
          <w:sz w:val="28"/>
          <w:szCs w:val="28"/>
        </w:rPr>
        <w:t>-оценка долгосрочных эффектов проекта (в динамике по ученикам, организациям и пр.) и др.</w:t>
      </w: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D7409" w:rsidRPr="00BD7409" w:rsidRDefault="00BD7409" w:rsidP="00BD7409">
      <w:pPr>
        <w:spacing w:after="0" w:line="240" w:lineRule="auto"/>
        <w:ind w:firstLineChars="125" w:firstLine="3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7192" w:rsidRDefault="00BD7409">
      <w:bookmarkStart w:id="0" w:name="_GoBack"/>
      <w:bookmarkEnd w:id="0"/>
    </w:p>
    <w:sectPr w:rsidR="00BF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D7415"/>
    <w:multiLevelType w:val="singleLevel"/>
    <w:tmpl w:val="410D74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09"/>
    <w:rsid w:val="0003196E"/>
    <w:rsid w:val="0082347A"/>
    <w:rsid w:val="00BD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1828</Words>
  <Characters>10426</Characters>
  <Application>Microsoft Office Word</Application>
  <DocSecurity>0</DocSecurity>
  <Lines>86</Lines>
  <Paragraphs>24</Paragraphs>
  <ScaleCrop>false</ScaleCrop>
  <Company/>
  <LinksUpToDate>false</LinksUpToDate>
  <CharactersWithSpaces>12230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Толдзгун</dc:creator>
  <cp:lastModifiedBy>Толдзгун</cp:lastModifiedBy>
  <cp:revision>1</cp:revision>
  <dcterms:created xsi:type="dcterms:W3CDTF">2023-07-26T08:00:00Z</dcterms:created>
  <dcterms:modified xsi:type="dcterms:W3CDTF">2023-07-26T08:01:00Z</dcterms:modified>
</cp:coreProperties>
</file>